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23 224 vom 18. Juni 2025</w:t>
      </w:r>
    </w:p>
    <w:p>
      <w:r>
        <w:t>BL Gerichte, 2025-06-18, DE</w:t>
      </w:r>
    </w:p>
    <w:p>
      <w:r>
        <w:rPr>
          <w:b/>
        </w:rPr>
        <w:t xml:space="preserve">Quelle: </w:t>
      </w:r>
      <w:r>
        <w:t>https://mcp.opencaselaw.ch/entscheid/bl_gerichte_810 23 224</w:t>
      </w:r>
    </w:p>
    <w:p>
      <w:r>
        <w:t>FR: BL_GERICHTE 810 23 224 du 18 juin 2025</w:t>
      </w:r>
    </w:p>
    <w:p>
      <w:r>
        <w:t>IT: BL_GERICHTE 810 23 224 del 18 giugno 2025</w:t>
      </w:r>
    </w:p>
    <w:p>
      <w:pPr>
        <w:pStyle w:val="Heading2"/>
      </w:pPr>
      <w:r>
        <w:t>Regeste</w:t>
      </w:r>
    </w:p>
    <w:p>
      <w:r>
        <w:t>Denkmalschutz; Unterschutzstellung der "Tschudy-Villa" / Rechtsschutzinteresse an der Beurteilung der Beschwerden betreffend die provisorischen Rettungs- und Schutzmassnahmen / Aufnahme der Liegenschaft in das Inventar der kantonal geschützten Kulturdenkmäler / Schlüssigkeit des denkmalpflegerischen Gutachtens / Definition der Schutzmassnahmen und Entscheid über allfällige Wiederherstellung / Interessenabwägung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Bis zum neuen Entscheid des Regierungsrats gelten weiterhin die Schutzmassnahmen gemäss Ziffer 3 des Dispositivs in Verbindung mit Ziffer 2.9 der Erwägungen des Beschlusses des Regierungsrats Nr. 2024-300 vom 12. März 2024.</w:t>
      </w:r>
    </w:p>
    <w:p>
      <w:r>
        <w:rPr>
          <w:b/>
        </w:rPr>
        <w:t>E. 5</w:t>
      </w:r>
    </w:p>
    <w:p>
      <w:r>
        <w:t>Die Verfahrenskosten in der Höhe von insgesamt Fr. 5'000.-- werden im Umfang von Fr. 1'500.-- der Beschwerdeführerin und im Umfang von Fr. 3'500.-- dem Regierungsrat auferlegt. Der zuviel gezahlte Kostenvorschuss in der Höhe von Fr. 2'500.-- wird der Beschwerdeführerin zurückerstattet.</w:t>
      </w:r>
    </w:p>
    <w:p>
      <w:r>
        <w:rPr>
          <w:b/>
        </w:rPr>
        <w:t>E. 6</w:t>
      </w:r>
    </w:p>
    <w:p>
      <w:r>
        <w:t>Der Beschwerdeführerin wird eine Parteientschädigung in der Höhe von Fr. 31'693.70 (inkl. Auslagen und 8.1 % MWST) zulasten des Regierungsrats zugesprochen. Die restlichen Parteikosten werden wettgeschlagen. 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